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EB054AF" w14:textId="77777777" w:rsidR="00EE4070" w:rsidRPr="00177336" w:rsidRDefault="00EE4070" w:rsidP="00EE4070">
      <w:pPr>
        <w:pStyle w:val="Rubriqsuite"/>
      </w:pPr>
      <w:r w:rsidRPr="00177336">
        <w:t>Conseil municipal</w:t>
      </w:r>
    </w:p>
    <w:p w14:paraId="3DAD7BB1" w14:textId="77777777" w:rsidR="008F0B01" w:rsidRPr="00177336" w:rsidRDefault="0092536F" w:rsidP="0092536F">
      <w:pPr>
        <w:pStyle w:val="M3"/>
      </w:pPr>
      <w:r w:rsidRPr="00177336">
        <w:t>Délibé</w:t>
      </w:r>
      <w:r w:rsidR="00654662" w:rsidRPr="00177336">
        <w:t xml:space="preserve">ration portant désignation du (ou des) </w:t>
      </w:r>
      <w:r w:rsidRPr="00177336">
        <w:t>référent</w:t>
      </w:r>
      <w:r w:rsidR="00654662" w:rsidRPr="00177336">
        <w:t>(s)</w:t>
      </w:r>
      <w:r w:rsidRPr="00177336">
        <w:t xml:space="preserve"> déontologue</w:t>
      </w:r>
      <w:r w:rsidR="00654662" w:rsidRPr="00177336">
        <w:t>(s)</w:t>
      </w:r>
      <w:r w:rsidRPr="00177336">
        <w:t xml:space="preserve"> </w:t>
      </w:r>
    </w:p>
    <w:p w14:paraId="436EFF08" w14:textId="77777777" w:rsidR="0092536F" w:rsidRPr="00177336" w:rsidRDefault="0092536F" w:rsidP="0092536F"/>
    <w:p w14:paraId="143AA58F" w14:textId="77777777" w:rsidR="0092536F" w:rsidRPr="00177336" w:rsidRDefault="0092536F" w:rsidP="0092536F">
      <w:pPr>
        <w:pStyle w:val="M6"/>
      </w:pPr>
    </w:p>
    <w:p w14:paraId="28EE15A6" w14:textId="77777777" w:rsidR="00F464F7" w:rsidRPr="00177336" w:rsidRDefault="0092536F" w:rsidP="00F464F7">
      <w:pPr>
        <w:pStyle w:val="M6"/>
      </w:pPr>
      <w:r w:rsidRPr="00177336">
        <w:t xml:space="preserve">Vu le Code général des collectivités territoriales, et notamment son article L. </w:t>
      </w:r>
      <w:r w:rsidR="00B739C1" w:rsidRPr="00B739C1">
        <w:rPr>
          <w:highlight w:val="cyan"/>
        </w:rPr>
        <w:t>1111-13</w:t>
      </w:r>
      <w:r w:rsidR="00B739C1">
        <w:t xml:space="preserve"> </w:t>
      </w:r>
      <w:commentRangeStart w:id="0"/>
      <w:r w:rsidR="00F464F7" w:rsidRPr="00177336">
        <w:t>et</w:t>
      </w:r>
      <w:commentRangeEnd w:id="0"/>
      <w:r w:rsidR="00B739C1">
        <w:rPr>
          <w:rStyle w:val="Marquedecommentaire"/>
          <w:rFonts w:ascii="Times New Roman" w:hAnsi="Times New Roman"/>
        </w:rPr>
        <w:commentReference w:id="0"/>
      </w:r>
      <w:r w:rsidR="00F464F7" w:rsidRPr="00177336">
        <w:t xml:space="preserve"> ses articles R. 1111-1-A à R. 1111-1-D (en vigueur au 1</w:t>
      </w:r>
      <w:r w:rsidR="00F464F7" w:rsidRPr="00177336">
        <w:rPr>
          <w:vertAlign w:val="superscript"/>
        </w:rPr>
        <w:t>er</w:t>
      </w:r>
      <w:r w:rsidR="00F464F7" w:rsidRPr="00177336">
        <w:t xml:space="preserve"> juin 2023), </w:t>
      </w:r>
    </w:p>
    <w:p w14:paraId="50C14BB5" w14:textId="77777777" w:rsidR="0092536F" w:rsidRPr="00177336" w:rsidRDefault="0092536F" w:rsidP="0092536F">
      <w:pPr>
        <w:pStyle w:val="M6"/>
      </w:pPr>
    </w:p>
    <w:p w14:paraId="228246C2" w14:textId="77777777" w:rsidR="0092536F" w:rsidRDefault="0092536F" w:rsidP="0092536F">
      <w:pPr>
        <w:pStyle w:val="M6"/>
      </w:pPr>
      <w:r w:rsidRPr="00177336">
        <w:t xml:space="preserve">Vu le </w:t>
      </w:r>
      <w:r w:rsidR="0099265E" w:rsidRPr="00177336">
        <w:t>d</w:t>
      </w:r>
      <w:r w:rsidR="00F566E3" w:rsidRPr="00177336">
        <w:t xml:space="preserve">écret </w:t>
      </w:r>
      <w:r w:rsidR="00F566E3" w:rsidRPr="00497E52">
        <w:rPr>
          <w:highlight w:val="lightGray"/>
        </w:rPr>
        <w:t>1520 d</w:t>
      </w:r>
      <w:r w:rsidRPr="00497E52">
        <w:rPr>
          <w:highlight w:val="lightGray"/>
        </w:rPr>
        <w:t>u</w:t>
      </w:r>
      <w:r w:rsidRPr="00177336">
        <w:t xml:space="preserve"> 6 décembre 2022 relatif</w:t>
      </w:r>
      <w:r w:rsidR="00F566E3" w:rsidRPr="00177336">
        <w:t>s</w:t>
      </w:r>
      <w:r w:rsidRPr="00177336">
        <w:t xml:space="preserve"> au référent déontologue de l'élu local</w:t>
      </w:r>
      <w:r w:rsidR="00127908" w:rsidRPr="00177336">
        <w:t xml:space="preserve"> (dont les dispositions entrent en vigueur au 1</w:t>
      </w:r>
      <w:r w:rsidR="00127908" w:rsidRPr="00177336">
        <w:rPr>
          <w:vertAlign w:val="superscript"/>
        </w:rPr>
        <w:t>er</w:t>
      </w:r>
      <w:r w:rsidR="00127908" w:rsidRPr="00177336">
        <w:t xml:space="preserve"> juin 2023)</w:t>
      </w:r>
      <w:r w:rsidR="00B739C1">
        <w:t>,</w:t>
      </w:r>
      <w:r w:rsidR="00F566E3" w:rsidRPr="00177336">
        <w:t xml:space="preserve"> </w:t>
      </w:r>
    </w:p>
    <w:p w14:paraId="7AE13872" w14:textId="77777777" w:rsidR="00B739C1" w:rsidRDefault="00B739C1" w:rsidP="0092536F">
      <w:pPr>
        <w:pStyle w:val="M6"/>
      </w:pPr>
    </w:p>
    <w:p w14:paraId="2D3F618E" w14:textId="77777777" w:rsidR="0092536F" w:rsidRDefault="00B739C1" w:rsidP="00B739C1">
      <w:pPr>
        <w:pStyle w:val="M6"/>
      </w:pPr>
      <w:r w:rsidRPr="00B739C1">
        <w:rPr>
          <w:highlight w:val="cyan"/>
        </w:rPr>
        <w:t>Vu l’arrêté du 6 décembre 2022 pris en application du décret n° 2022-1520 du 6 décembre 2022 relatif au référent déontologue de l'élu local</w:t>
      </w:r>
      <w:r>
        <w:t>,</w:t>
      </w:r>
    </w:p>
    <w:p w14:paraId="738E4D0A" w14:textId="77777777" w:rsidR="00B739C1" w:rsidRPr="00177336" w:rsidRDefault="00B739C1" w:rsidP="00B739C1">
      <w:pPr>
        <w:pStyle w:val="M6"/>
      </w:pPr>
    </w:p>
    <w:p w14:paraId="352E6B46" w14:textId="77777777" w:rsidR="0092536F" w:rsidRPr="00177336" w:rsidRDefault="0092536F" w:rsidP="0092536F">
      <w:pPr>
        <w:pStyle w:val="M6"/>
      </w:pPr>
      <w:r w:rsidRPr="00177336">
        <w:t>Considérant que tout élu local peut consulter un référent déontologue chargé de lui apporter tout conseil utile au respect des principes déontologiques consacrés dans la Charte de l’élu local,</w:t>
      </w:r>
    </w:p>
    <w:p w14:paraId="50D632F9" w14:textId="77777777" w:rsidR="0092536F" w:rsidRPr="00177336" w:rsidRDefault="0092536F" w:rsidP="0092536F">
      <w:pPr>
        <w:pStyle w:val="M6"/>
      </w:pPr>
    </w:p>
    <w:p w14:paraId="446E4C6E" w14:textId="77777777" w:rsidR="0092536F" w:rsidRPr="00177336" w:rsidRDefault="0092536F" w:rsidP="0092536F">
      <w:pPr>
        <w:pStyle w:val="M6"/>
      </w:pPr>
      <w:r w:rsidRPr="00177336">
        <w:t>Considérant qu’un référent déontologue doit être désigné par le conseil municipal</w:t>
      </w:r>
      <w:r w:rsidR="00F3285C" w:rsidRPr="00177336">
        <w:t xml:space="preserve"> </w:t>
      </w:r>
      <w:r w:rsidR="00497E52" w:rsidRPr="00497E52">
        <w:rPr>
          <w:highlight w:val="lightGray"/>
        </w:rPr>
        <w:t>(</w:t>
      </w:r>
      <w:r w:rsidR="00497E52" w:rsidRPr="00497E52">
        <w:rPr>
          <w:i/>
          <w:highlight w:val="lightGray"/>
        </w:rPr>
        <w:t xml:space="preserve">le référent devait être désigné </w:t>
      </w:r>
      <w:r w:rsidR="00F3285C" w:rsidRPr="00497E52">
        <w:rPr>
          <w:i/>
          <w:highlight w:val="lightGray"/>
        </w:rPr>
        <w:t>avant le 1</w:t>
      </w:r>
      <w:r w:rsidR="00F3285C" w:rsidRPr="00497E52">
        <w:rPr>
          <w:i/>
          <w:highlight w:val="lightGray"/>
          <w:vertAlign w:val="superscript"/>
        </w:rPr>
        <w:t>er</w:t>
      </w:r>
      <w:r w:rsidR="00F3285C" w:rsidRPr="00497E52">
        <w:rPr>
          <w:i/>
          <w:highlight w:val="lightGray"/>
        </w:rPr>
        <w:t xml:space="preserve"> juin 2023</w:t>
      </w:r>
      <w:r w:rsidR="00497E52" w:rsidRPr="00497E52">
        <w:rPr>
          <w:highlight w:val="lightGray"/>
        </w:rPr>
        <w:t>)</w:t>
      </w:r>
      <w:r w:rsidRPr="00497E52">
        <w:rPr>
          <w:highlight w:val="lightGray"/>
        </w:rPr>
        <w:t>,</w:t>
      </w:r>
      <w:r w:rsidRPr="00177336">
        <w:t xml:space="preserve"> </w:t>
      </w:r>
    </w:p>
    <w:p w14:paraId="5676E6DC" w14:textId="77777777" w:rsidR="0092536F" w:rsidRPr="00177336" w:rsidRDefault="0092536F" w:rsidP="0092536F">
      <w:pPr>
        <w:pStyle w:val="M6"/>
      </w:pPr>
    </w:p>
    <w:p w14:paraId="2A836A07" w14:textId="77777777" w:rsidR="0092536F" w:rsidRPr="00177336" w:rsidRDefault="0092536F" w:rsidP="0092536F">
      <w:pPr>
        <w:pStyle w:val="M6"/>
      </w:pPr>
      <w:r w:rsidRPr="00177336">
        <w:t>(</w:t>
      </w:r>
      <w:r w:rsidRPr="00177336">
        <w:rPr>
          <w:i/>
        </w:rPr>
        <w:t>Le cas échéant</w:t>
      </w:r>
      <w:r w:rsidRPr="00177336">
        <w:t xml:space="preserve">) Considérant que plusieurs collectivités territoriales, groupements de collectivités territoriales ou syndicats mixtes peuvent désigner un même référent déontologue pour leurs élus par délibérations concordantes, </w:t>
      </w:r>
    </w:p>
    <w:p w14:paraId="0E875BCC" w14:textId="77777777" w:rsidR="0092536F" w:rsidRPr="00177336" w:rsidRDefault="0092536F" w:rsidP="0092536F">
      <w:pPr>
        <w:pStyle w:val="M6"/>
      </w:pPr>
    </w:p>
    <w:p w14:paraId="79D95EFF" w14:textId="77777777" w:rsidR="0092536F" w:rsidRPr="00177336" w:rsidRDefault="0092536F" w:rsidP="0092536F">
      <w:pPr>
        <w:pStyle w:val="M6"/>
      </w:pPr>
      <w:r w:rsidRPr="00177336">
        <w:t>Considérant que les missions de référent déontologue sont exercées en toute indépendance et impartialité par des personnes choisies en raison de leur exp</w:t>
      </w:r>
      <w:r w:rsidR="00DA167D" w:rsidRPr="00177336">
        <w:t xml:space="preserve">érience et de leurs compétences, </w:t>
      </w:r>
    </w:p>
    <w:p w14:paraId="231E5E31" w14:textId="77777777" w:rsidR="0092536F" w:rsidRPr="00177336" w:rsidRDefault="0092536F" w:rsidP="0092536F">
      <w:pPr>
        <w:pStyle w:val="M6"/>
      </w:pPr>
    </w:p>
    <w:p w14:paraId="5F103386" w14:textId="77777777" w:rsidR="00F3285C" w:rsidRPr="00177336" w:rsidRDefault="00F3285C" w:rsidP="00F3285C">
      <w:pPr>
        <w:pStyle w:val="M6"/>
      </w:pPr>
      <w:r w:rsidRPr="00177336">
        <w:t xml:space="preserve">Considérant que les missions de référent déontologue peuvent être, selon les cas, assurées par : </w:t>
      </w:r>
    </w:p>
    <w:p w14:paraId="0B957E97" w14:textId="77777777" w:rsidR="00F3285C" w:rsidRPr="00177336" w:rsidRDefault="00CE3DA3" w:rsidP="00F3285C">
      <w:pPr>
        <w:pStyle w:val="M6"/>
      </w:pPr>
      <w:r w:rsidRPr="00177336">
        <w:t>1° U</w:t>
      </w:r>
      <w:r w:rsidR="00F3285C" w:rsidRPr="00177336">
        <w:t>ne ou plusieurs personnes n'exerçant au sein des collectivités auprès desquelles elles sont désignées aucun mandat d'élu local, n'en exe</w:t>
      </w:r>
      <w:r w:rsidRPr="00177336">
        <w:t>rçant plus depuis au moins 3</w:t>
      </w:r>
      <w:r w:rsidR="00F3285C" w:rsidRPr="00177336">
        <w:t xml:space="preserve"> ans, n'étant pas agent de ces collectivités et ne se trouvant pas en situation de conflit d'intérêt avec celles-ci ;</w:t>
      </w:r>
    </w:p>
    <w:p w14:paraId="01261158" w14:textId="77777777" w:rsidR="0092536F" w:rsidRPr="00177336" w:rsidRDefault="00CE3DA3" w:rsidP="00D86476">
      <w:pPr>
        <w:pStyle w:val="M6"/>
      </w:pPr>
      <w:r w:rsidRPr="00177336">
        <w:t>2° U</w:t>
      </w:r>
      <w:r w:rsidR="00F3285C" w:rsidRPr="00177336">
        <w:t xml:space="preserve">n collège, composé de personnes </w:t>
      </w:r>
      <w:r w:rsidRPr="00177336">
        <w:t xml:space="preserve">répondant aux conditions du 1°, </w:t>
      </w:r>
    </w:p>
    <w:p w14:paraId="2C741012" w14:textId="77777777" w:rsidR="0092536F" w:rsidRPr="00177336" w:rsidRDefault="0092536F" w:rsidP="0092536F">
      <w:pPr>
        <w:pStyle w:val="M6"/>
      </w:pPr>
    </w:p>
    <w:p w14:paraId="7B9957BB" w14:textId="77777777" w:rsidR="00CE3DA3" w:rsidRPr="00177336" w:rsidRDefault="00CE3DA3" w:rsidP="00CE3DA3">
      <w:pPr>
        <w:pStyle w:val="M6"/>
      </w:pPr>
      <w:r w:rsidRPr="00177336">
        <w:t>Considérant que la délibération portant désignation du ou des référents déontologues (ou des membres du collège) doit préciser la durée de l'exercice de ses fonctions, les modalités de sa saisine et de l'examen de celle-ci, ainsi que les conditions dans lesquelles les avis sont rendus,</w:t>
      </w:r>
    </w:p>
    <w:p w14:paraId="44C79A6E" w14:textId="77777777" w:rsidR="00CE3DA3" w:rsidRPr="00177336" w:rsidRDefault="00CE3DA3" w:rsidP="00CE3DA3">
      <w:pPr>
        <w:pStyle w:val="M6"/>
      </w:pPr>
    </w:p>
    <w:p w14:paraId="387C4900" w14:textId="77777777" w:rsidR="005310CC" w:rsidRPr="00177336" w:rsidRDefault="00CE3DA3" w:rsidP="005310CC">
      <w:pPr>
        <w:pStyle w:val="M6"/>
      </w:pPr>
      <w:r w:rsidRPr="00177336">
        <w:t>Considérant que la délibération doit également préciser les moyens matériels mis à disposition du ou des référents déontologues</w:t>
      </w:r>
      <w:r w:rsidR="00F566E3" w:rsidRPr="00177336">
        <w:t xml:space="preserve"> (ou des membres du collège) </w:t>
      </w:r>
      <w:r w:rsidRPr="00177336">
        <w:t xml:space="preserve">ainsi que les éventuelles modalités de rémunération, </w:t>
      </w:r>
    </w:p>
    <w:p w14:paraId="13095314" w14:textId="77777777" w:rsidR="005310CC" w:rsidRPr="00177336" w:rsidRDefault="005310CC" w:rsidP="00CE3DA3">
      <w:pPr>
        <w:pStyle w:val="M6"/>
      </w:pPr>
    </w:p>
    <w:p w14:paraId="67C4E414" w14:textId="77777777" w:rsidR="00B44041" w:rsidRPr="00177336" w:rsidRDefault="00B44041" w:rsidP="00CE3DA3">
      <w:pPr>
        <w:pStyle w:val="M6"/>
      </w:pPr>
      <w:r w:rsidRPr="00177336">
        <w:t>(</w:t>
      </w:r>
      <w:r w:rsidR="005310CC" w:rsidRPr="00177336">
        <w:rPr>
          <w:i/>
        </w:rPr>
        <w:t>Le cas échéant et l</w:t>
      </w:r>
      <w:r w:rsidRPr="00177336">
        <w:rPr>
          <w:i/>
        </w:rPr>
        <w:t>orsque les missions de référent déontologue sont assurées par une ou plusieurs personnes</w:t>
      </w:r>
      <w:r w:rsidRPr="00177336">
        <w:t>) Considérant que</w:t>
      </w:r>
      <w:r w:rsidR="005310CC" w:rsidRPr="00177336">
        <w:t xml:space="preserve"> l’indemnisation prend la forme de vacations et que</w:t>
      </w:r>
      <w:r w:rsidRPr="00177336">
        <w:t xml:space="preserve"> le montant maximum de l'indemnité pouvant être versée par personne désignée est fixé à 80 euros par dossier,</w:t>
      </w:r>
    </w:p>
    <w:p w14:paraId="076ECDDA" w14:textId="77777777" w:rsidR="00B44041" w:rsidRPr="00177336" w:rsidRDefault="00B44041" w:rsidP="00CE3DA3">
      <w:pPr>
        <w:pStyle w:val="M6"/>
      </w:pPr>
    </w:p>
    <w:p w14:paraId="40DBDDF7" w14:textId="77777777" w:rsidR="00B44041" w:rsidRPr="00177336" w:rsidRDefault="00B44041" w:rsidP="00B44041">
      <w:pPr>
        <w:pStyle w:val="M6"/>
      </w:pPr>
      <w:r w:rsidRPr="00177336">
        <w:t>(</w:t>
      </w:r>
      <w:r w:rsidR="005310CC" w:rsidRPr="00177336">
        <w:rPr>
          <w:i/>
        </w:rPr>
        <w:t>Le cas échéant et l</w:t>
      </w:r>
      <w:r w:rsidRPr="00177336">
        <w:rPr>
          <w:i/>
        </w:rPr>
        <w:t>orsque les missions de référent déontologue sont assurées par un collège</w:t>
      </w:r>
      <w:r w:rsidRPr="00177336">
        <w:t xml:space="preserve">) Considérant </w:t>
      </w:r>
      <w:r w:rsidR="005310CC" w:rsidRPr="00177336">
        <w:t xml:space="preserve">que l’indemnisation prend la forme de vacations et </w:t>
      </w:r>
      <w:r w:rsidRPr="00177336">
        <w:t>que le montant maximum de l'indemnité pouvant être versée par personne désignée est fixé comme suit :</w:t>
      </w:r>
    </w:p>
    <w:p w14:paraId="4DDF284B" w14:textId="77777777" w:rsidR="00B44041" w:rsidRPr="00177336" w:rsidRDefault="00B44041" w:rsidP="00B44041">
      <w:pPr>
        <w:pStyle w:val="M6"/>
      </w:pPr>
      <w:r w:rsidRPr="00177336">
        <w:t>1° Pour la présidence effective d'une séance du collège d'une demi-journée : 300 euros ;</w:t>
      </w:r>
    </w:p>
    <w:p w14:paraId="05199DBE" w14:textId="77777777" w:rsidR="00B44041" w:rsidRPr="00177336" w:rsidRDefault="00B44041" w:rsidP="00B44041">
      <w:pPr>
        <w:pStyle w:val="M6"/>
      </w:pPr>
      <w:r w:rsidRPr="00177336">
        <w:t>2° Pour la participation effective à une séance du collège d'une demi-journée : 200 euros.</w:t>
      </w:r>
    </w:p>
    <w:p w14:paraId="42C522FE" w14:textId="77777777" w:rsidR="00B44041" w:rsidRPr="00177336" w:rsidRDefault="00B44041" w:rsidP="00B44041">
      <w:pPr>
        <w:pStyle w:val="M6"/>
      </w:pPr>
      <w:r w:rsidRPr="00177336">
        <w:t>Les indemnités prévues au 1° et 2° ne sont pas cumulables</w:t>
      </w:r>
      <w:r w:rsidR="00B22661" w:rsidRPr="00177336">
        <w:t xml:space="preserve"> </w:t>
      </w:r>
      <w:r w:rsidR="00B22661" w:rsidRPr="00177336">
        <w:rPr>
          <w:vertAlign w:val="superscript"/>
        </w:rPr>
        <w:t>(1)</w:t>
      </w:r>
      <w:r w:rsidRPr="00177336">
        <w:t>.</w:t>
      </w:r>
    </w:p>
    <w:p w14:paraId="1FDC411E" w14:textId="77777777" w:rsidR="0022760F" w:rsidRPr="00177336" w:rsidRDefault="0022760F" w:rsidP="00B44041">
      <w:pPr>
        <w:pStyle w:val="M6"/>
      </w:pPr>
    </w:p>
    <w:p w14:paraId="5FBAE361" w14:textId="77777777" w:rsidR="0022760F" w:rsidRPr="00177336" w:rsidRDefault="0022760F" w:rsidP="0022760F">
      <w:pPr>
        <w:pStyle w:val="M6"/>
      </w:pPr>
      <w:r w:rsidRPr="00177336">
        <w:t>(</w:t>
      </w:r>
      <w:r w:rsidRPr="00177336">
        <w:rPr>
          <w:i/>
        </w:rPr>
        <w:t>Le cas échéant</w:t>
      </w:r>
      <w:r w:rsidRPr="00177336">
        <w:t>) Considérant que le ou les référents déontologues (ou les membres du collège) peuvent bénéficier du remboursement de leurs frais de transport et d'hébergement dans les conditions applicables aux personnels de la fonction publique territoriale,</w:t>
      </w:r>
    </w:p>
    <w:p w14:paraId="1FB1E505" w14:textId="77777777" w:rsidR="008844F0" w:rsidRPr="00177336" w:rsidRDefault="008844F0" w:rsidP="00B44041">
      <w:pPr>
        <w:pStyle w:val="M6"/>
      </w:pPr>
    </w:p>
    <w:p w14:paraId="06ABB00F" w14:textId="77777777" w:rsidR="0092536F" w:rsidRPr="00177336" w:rsidRDefault="008844F0" w:rsidP="00FE46E7">
      <w:pPr>
        <w:pStyle w:val="M6"/>
      </w:pPr>
      <w:r w:rsidRPr="00177336">
        <w:t xml:space="preserve">Considérant que le ou les référents déontologues (ou les membres du collège) sont tenus au secret professionnel et à la discrétion professionnelle pour tous les faits, informations ou documents dont ils ont connaissance dans l'exercice ou à l'occasion de </w:t>
      </w:r>
      <w:r w:rsidR="00FE46E7" w:rsidRPr="00177336">
        <w:t>l'exercice de leurs fonctions,</w:t>
      </w:r>
    </w:p>
    <w:p w14:paraId="038DEE9E" w14:textId="77777777" w:rsidR="0092536F" w:rsidRPr="00177336" w:rsidRDefault="0092536F" w:rsidP="0092536F">
      <w:pPr>
        <w:pStyle w:val="M6"/>
      </w:pPr>
    </w:p>
    <w:p w14:paraId="7707DB97" w14:textId="77777777" w:rsidR="0092536F" w:rsidRPr="00177336" w:rsidRDefault="0092536F" w:rsidP="0092536F">
      <w:pPr>
        <w:pStyle w:val="M6"/>
      </w:pPr>
      <w:r w:rsidRPr="00177336">
        <w:t>Le conseil municipal, après en avoir délibéré,</w:t>
      </w:r>
    </w:p>
    <w:p w14:paraId="038038E7" w14:textId="77777777" w:rsidR="0092536F" w:rsidRPr="00177336" w:rsidRDefault="0092536F" w:rsidP="0092536F">
      <w:pPr>
        <w:pStyle w:val="M6"/>
      </w:pPr>
      <w:r w:rsidRPr="00177336">
        <w:t>Par</w:t>
      </w:r>
      <w:r w:rsidRPr="00177336">
        <w:rPr>
          <w:rFonts w:cs="Arial"/>
          <w:szCs w:val="18"/>
        </w:rPr>
        <w:t> </w:t>
      </w:r>
      <w:r w:rsidRPr="00177336">
        <w:rPr>
          <w:rFonts w:cs="Arial"/>
          <w:sz w:val="16"/>
          <w:szCs w:val="16"/>
        </w:rPr>
        <w:t>.</w:t>
      </w:r>
      <w:r w:rsidRPr="00177336">
        <w:rPr>
          <w:sz w:val="16"/>
          <w:szCs w:val="16"/>
        </w:rPr>
        <w:t>.....................</w:t>
      </w:r>
      <w:r w:rsidRPr="00177336">
        <w:rPr>
          <w:rFonts w:cs="Arial"/>
          <w:szCs w:val="18"/>
        </w:rPr>
        <w:t> </w:t>
      </w:r>
      <w:r w:rsidRPr="00177336">
        <w:t>voix pour,</w:t>
      </w:r>
      <w:r w:rsidRPr="00177336">
        <w:rPr>
          <w:rFonts w:cs="Arial"/>
          <w:szCs w:val="18"/>
        </w:rPr>
        <w:t> </w:t>
      </w:r>
      <w:r w:rsidRPr="00177336">
        <w:rPr>
          <w:rFonts w:cs="Arial"/>
          <w:sz w:val="16"/>
          <w:szCs w:val="16"/>
        </w:rPr>
        <w:t>.</w:t>
      </w:r>
      <w:r w:rsidRPr="00177336">
        <w:rPr>
          <w:sz w:val="16"/>
          <w:szCs w:val="16"/>
        </w:rPr>
        <w:t>.....................</w:t>
      </w:r>
      <w:r w:rsidRPr="00177336">
        <w:rPr>
          <w:rFonts w:cs="Arial"/>
          <w:szCs w:val="18"/>
        </w:rPr>
        <w:t> </w:t>
      </w:r>
      <w:r w:rsidRPr="00177336">
        <w:t>voix contre,</w:t>
      </w:r>
      <w:r w:rsidRPr="00177336">
        <w:rPr>
          <w:rFonts w:cs="Arial"/>
          <w:szCs w:val="18"/>
        </w:rPr>
        <w:t xml:space="preserve">  </w:t>
      </w:r>
      <w:r w:rsidRPr="00177336">
        <w:rPr>
          <w:rFonts w:cs="Arial"/>
          <w:sz w:val="16"/>
          <w:szCs w:val="16"/>
        </w:rPr>
        <w:t>.</w:t>
      </w:r>
      <w:r w:rsidRPr="00177336">
        <w:rPr>
          <w:sz w:val="16"/>
          <w:szCs w:val="16"/>
        </w:rPr>
        <w:t>.....................</w:t>
      </w:r>
      <w:r w:rsidRPr="00177336">
        <w:rPr>
          <w:rFonts w:cs="Arial"/>
          <w:szCs w:val="18"/>
        </w:rPr>
        <w:t> </w:t>
      </w:r>
      <w:r w:rsidRPr="00177336">
        <w:t>abstentions,</w:t>
      </w:r>
    </w:p>
    <w:p w14:paraId="6913B1EF" w14:textId="77777777" w:rsidR="0092536F" w:rsidRPr="00177336" w:rsidRDefault="0092536F" w:rsidP="0092536F">
      <w:pPr>
        <w:pStyle w:val="M6"/>
      </w:pPr>
    </w:p>
    <w:p w14:paraId="339E0A9F" w14:textId="77777777" w:rsidR="0092536F" w:rsidRPr="00177336" w:rsidRDefault="0092536F" w:rsidP="0092536F">
      <w:pPr>
        <w:pStyle w:val="M6"/>
      </w:pPr>
    </w:p>
    <w:p w14:paraId="510A45B6" w14:textId="77777777" w:rsidR="00F3285C" w:rsidRPr="00177336" w:rsidRDefault="0092536F" w:rsidP="00F3285C">
      <w:pPr>
        <w:pStyle w:val="M6"/>
        <w:rPr>
          <w:sz w:val="16"/>
          <w:szCs w:val="16"/>
        </w:rPr>
      </w:pPr>
      <w:r w:rsidRPr="00177336">
        <w:rPr>
          <w:b/>
        </w:rPr>
        <w:lastRenderedPageBreak/>
        <w:t xml:space="preserve">DÉSIGNE </w:t>
      </w:r>
      <w:r w:rsidRPr="00177336">
        <w:t>en qualité de référent</w:t>
      </w:r>
      <w:r w:rsidR="00F3285C" w:rsidRPr="00177336">
        <w:t>(s)</w:t>
      </w:r>
      <w:r w:rsidRPr="00177336">
        <w:t xml:space="preserve"> déontologue</w:t>
      </w:r>
      <w:r w:rsidR="00F3285C" w:rsidRPr="00177336">
        <w:rPr>
          <w:sz w:val="16"/>
          <w:szCs w:val="16"/>
        </w:rPr>
        <w:t xml:space="preserve">(s) : </w:t>
      </w:r>
    </w:p>
    <w:p w14:paraId="122129B1" w14:textId="77777777" w:rsidR="00F3285C" w:rsidRPr="00177336" w:rsidRDefault="00F3285C" w:rsidP="00F3285C">
      <w:pPr>
        <w:pStyle w:val="M6"/>
        <w:rPr>
          <w:sz w:val="16"/>
          <w:szCs w:val="16"/>
        </w:rPr>
      </w:pPr>
    </w:p>
    <w:p w14:paraId="1D492539" w14:textId="77777777" w:rsidR="00F3285C" w:rsidRPr="00177336" w:rsidRDefault="00F3285C" w:rsidP="00F3285C">
      <w:pPr>
        <w:pStyle w:val="M6"/>
      </w:pPr>
      <w:r w:rsidRPr="00177336">
        <w:t>- ......................</w:t>
      </w:r>
    </w:p>
    <w:p w14:paraId="1A25BED8" w14:textId="77777777" w:rsidR="00F3285C" w:rsidRPr="00177336" w:rsidRDefault="00F3285C" w:rsidP="00F3285C">
      <w:pPr>
        <w:pStyle w:val="M6"/>
      </w:pPr>
      <w:r w:rsidRPr="00177336">
        <w:t xml:space="preserve">- ...................... </w:t>
      </w:r>
    </w:p>
    <w:p w14:paraId="351734B8" w14:textId="77777777" w:rsidR="00F3285C" w:rsidRPr="00177336" w:rsidRDefault="00F3285C" w:rsidP="00F3285C">
      <w:pPr>
        <w:pStyle w:val="M6"/>
      </w:pPr>
      <w:r w:rsidRPr="00177336">
        <w:t>- ......................</w:t>
      </w:r>
    </w:p>
    <w:p w14:paraId="564E3EEC" w14:textId="77777777" w:rsidR="00F3285C" w:rsidRPr="00177336" w:rsidRDefault="00F3285C" w:rsidP="00F3285C">
      <w:pPr>
        <w:pStyle w:val="M6"/>
      </w:pPr>
      <w:r w:rsidRPr="00177336">
        <w:t>- ......................</w:t>
      </w:r>
    </w:p>
    <w:p w14:paraId="12D0D9E6" w14:textId="77777777" w:rsidR="00F3285C" w:rsidRPr="00177336" w:rsidRDefault="00F3285C" w:rsidP="00F3285C">
      <w:pPr>
        <w:pStyle w:val="M6"/>
      </w:pPr>
      <w:r w:rsidRPr="00177336">
        <w:t>- ......................</w:t>
      </w:r>
    </w:p>
    <w:p w14:paraId="71441130" w14:textId="77777777" w:rsidR="00D86476" w:rsidRPr="00177336" w:rsidRDefault="00D86476" w:rsidP="00F3285C">
      <w:pPr>
        <w:pStyle w:val="M6"/>
        <w:rPr>
          <w:b/>
        </w:rPr>
      </w:pPr>
    </w:p>
    <w:p w14:paraId="5B5446F6" w14:textId="77777777" w:rsidR="00D86476" w:rsidRPr="00177336" w:rsidRDefault="00D86476" w:rsidP="00F3285C">
      <w:pPr>
        <w:pStyle w:val="M6"/>
      </w:pPr>
      <w:r w:rsidRPr="00177336">
        <w:rPr>
          <w:b/>
        </w:rPr>
        <w:t xml:space="preserve">DÉCIDE </w:t>
      </w:r>
      <w:r w:rsidRPr="00177336">
        <w:t>que la (ou les) personne(s) susmentionnée(s) exerceront leurs fonctions pour une durée de ......................</w:t>
      </w:r>
    </w:p>
    <w:p w14:paraId="4B333431" w14:textId="77777777" w:rsidR="00E9040B" w:rsidRPr="00177336" w:rsidRDefault="00E9040B" w:rsidP="00F3285C">
      <w:pPr>
        <w:pStyle w:val="M6"/>
      </w:pPr>
    </w:p>
    <w:p w14:paraId="06661A10" w14:textId="77777777" w:rsidR="00E9040B" w:rsidRPr="00177336" w:rsidRDefault="00E9040B" w:rsidP="005310CC">
      <w:pPr>
        <w:pStyle w:val="M6"/>
      </w:pPr>
      <w:r w:rsidRPr="00177336">
        <w:rPr>
          <w:b/>
        </w:rPr>
        <w:t>FIXE</w:t>
      </w:r>
      <w:r w:rsidRPr="00177336">
        <w:t xml:space="preserve"> </w:t>
      </w:r>
      <w:r w:rsidR="005310CC" w:rsidRPr="00177336">
        <w:t>les modalités de saisine du ou des référents déontologues (ou des membres du collège) ainsi que les conditions d’examen des demandes comme tel : ......................</w:t>
      </w:r>
      <w:r w:rsidR="00F566E3" w:rsidRPr="00177336">
        <w:t xml:space="preserve"> (</w:t>
      </w:r>
      <w:r w:rsidR="00DF6A34" w:rsidRPr="00177336">
        <w:rPr>
          <w:i/>
        </w:rPr>
        <w:t xml:space="preserve">détailler les modalités : saisine par écrit ou par prise de rendez-vous, délais, accusé de réception, demande de pièces, </w:t>
      </w:r>
      <w:r w:rsidR="00F337E5" w:rsidRPr="00177336">
        <w:rPr>
          <w:i/>
        </w:rPr>
        <w:t>...</w:t>
      </w:r>
      <w:r w:rsidR="00F566E3" w:rsidRPr="00177336">
        <w:t>).</w:t>
      </w:r>
    </w:p>
    <w:p w14:paraId="16029E9F" w14:textId="77777777" w:rsidR="00E9040B" w:rsidRPr="00177336" w:rsidRDefault="00E9040B" w:rsidP="00F3285C">
      <w:pPr>
        <w:pStyle w:val="M6"/>
      </w:pPr>
    </w:p>
    <w:p w14:paraId="7D8C062F" w14:textId="77777777" w:rsidR="00E9040B" w:rsidRPr="00177336" w:rsidRDefault="00E9040B" w:rsidP="00E9040B">
      <w:pPr>
        <w:pStyle w:val="M6"/>
      </w:pPr>
      <w:r w:rsidRPr="00177336">
        <w:rPr>
          <w:b/>
        </w:rPr>
        <w:t>DÉCIDE</w:t>
      </w:r>
      <w:r w:rsidRPr="00177336">
        <w:t xml:space="preserve"> que les avis du ou d</w:t>
      </w:r>
      <w:r w:rsidR="000C0119" w:rsidRPr="00177336">
        <w:t>es référents déontologues (ou d</w:t>
      </w:r>
      <w:r w:rsidRPr="00177336">
        <w:t>es membres du collège)</w:t>
      </w:r>
      <w:r w:rsidR="000C0119" w:rsidRPr="00177336">
        <w:t xml:space="preserve"> seront rendus dans les conditions suivantes : ......................</w:t>
      </w:r>
      <w:r w:rsidR="00E83CCD" w:rsidRPr="00177336">
        <w:t xml:space="preserve"> (</w:t>
      </w:r>
      <w:r w:rsidR="00F566E3" w:rsidRPr="00177336">
        <w:rPr>
          <w:i/>
        </w:rPr>
        <w:t>e</w:t>
      </w:r>
      <w:r w:rsidR="00E83CCD" w:rsidRPr="00177336">
        <w:rPr>
          <w:i/>
        </w:rPr>
        <w:t>xemple : délai dans lequel l’avis doit être rendu</w:t>
      </w:r>
      <w:r w:rsidR="005310CC" w:rsidRPr="00177336">
        <w:rPr>
          <w:i/>
        </w:rPr>
        <w:t>, formes de l’avis</w:t>
      </w:r>
      <w:r w:rsidR="00E83CCD" w:rsidRPr="00177336">
        <w:rPr>
          <w:i/>
        </w:rPr>
        <w:t>…</w:t>
      </w:r>
      <w:r w:rsidR="00E83CCD" w:rsidRPr="00177336">
        <w:t>)</w:t>
      </w:r>
      <w:r w:rsidR="00F566E3" w:rsidRPr="00177336">
        <w:t>.</w:t>
      </w:r>
    </w:p>
    <w:p w14:paraId="7FD643C3" w14:textId="77777777" w:rsidR="00F3285C" w:rsidRPr="00177336" w:rsidRDefault="00F3285C" w:rsidP="00F3285C">
      <w:pPr>
        <w:pStyle w:val="M6"/>
      </w:pPr>
    </w:p>
    <w:p w14:paraId="59F2986F" w14:textId="77777777" w:rsidR="00F3285C" w:rsidRPr="00177336" w:rsidRDefault="00F3285C" w:rsidP="00F3285C">
      <w:pPr>
        <w:pStyle w:val="M6"/>
      </w:pPr>
      <w:r w:rsidRPr="00177336">
        <w:rPr>
          <w:b/>
        </w:rPr>
        <w:t>DÉCIDE</w:t>
      </w:r>
      <w:r w:rsidRPr="00177336">
        <w:t xml:space="preserve"> que </w:t>
      </w:r>
      <w:r w:rsidR="00CE3DA3" w:rsidRPr="00177336">
        <w:t xml:space="preserve">les moyens matériels mis à disposition du ou des référents déontologues sont les suivants : </w:t>
      </w:r>
    </w:p>
    <w:p w14:paraId="4ACEB942" w14:textId="77777777" w:rsidR="00CE3DA3" w:rsidRPr="00177336" w:rsidRDefault="00CE3DA3" w:rsidP="00CE3DA3">
      <w:pPr>
        <w:pStyle w:val="M6"/>
      </w:pPr>
      <w:r w:rsidRPr="00177336">
        <w:t>- ......................</w:t>
      </w:r>
    </w:p>
    <w:p w14:paraId="77A5F822" w14:textId="77777777" w:rsidR="00CE3DA3" w:rsidRPr="00177336" w:rsidRDefault="00CE3DA3" w:rsidP="00CE3DA3">
      <w:pPr>
        <w:pStyle w:val="M6"/>
      </w:pPr>
      <w:r w:rsidRPr="00177336">
        <w:t xml:space="preserve">- ...................... </w:t>
      </w:r>
    </w:p>
    <w:p w14:paraId="352D246B" w14:textId="77777777" w:rsidR="00CE3DA3" w:rsidRPr="00177336" w:rsidRDefault="00CE3DA3" w:rsidP="00CE3DA3">
      <w:pPr>
        <w:pStyle w:val="M6"/>
      </w:pPr>
      <w:r w:rsidRPr="00177336">
        <w:t>- ......................</w:t>
      </w:r>
    </w:p>
    <w:p w14:paraId="1FDADE49" w14:textId="77777777" w:rsidR="00CE3DA3" w:rsidRPr="00177336" w:rsidRDefault="00CE3DA3" w:rsidP="00CE3DA3">
      <w:pPr>
        <w:pStyle w:val="M6"/>
      </w:pPr>
      <w:r w:rsidRPr="00177336">
        <w:t>- ......................</w:t>
      </w:r>
    </w:p>
    <w:p w14:paraId="2A8E5FF3" w14:textId="77777777" w:rsidR="00CE3DA3" w:rsidRPr="00177336" w:rsidRDefault="00CE3DA3" w:rsidP="00CE3DA3">
      <w:pPr>
        <w:pStyle w:val="M6"/>
      </w:pPr>
      <w:r w:rsidRPr="00177336">
        <w:t>- ......................</w:t>
      </w:r>
    </w:p>
    <w:p w14:paraId="3303C76B" w14:textId="77777777" w:rsidR="00CE3DA3" w:rsidRPr="00177336" w:rsidRDefault="00CE3DA3" w:rsidP="00F3285C">
      <w:pPr>
        <w:pStyle w:val="M6"/>
      </w:pPr>
    </w:p>
    <w:p w14:paraId="33061B0E" w14:textId="77777777" w:rsidR="00CE3DA3" w:rsidRPr="00177336" w:rsidRDefault="007E305A" w:rsidP="00374638">
      <w:pPr>
        <w:pStyle w:val="M6"/>
        <w:rPr>
          <w:i/>
        </w:rPr>
      </w:pPr>
      <w:r w:rsidRPr="00177336">
        <w:t>(</w:t>
      </w:r>
      <w:r w:rsidRPr="00177336">
        <w:rPr>
          <w:i/>
        </w:rPr>
        <w:t>Le cas échéant</w:t>
      </w:r>
      <w:r w:rsidRPr="00177336">
        <w:t>)</w:t>
      </w:r>
      <w:r w:rsidRPr="00177336">
        <w:rPr>
          <w:b/>
        </w:rPr>
        <w:t xml:space="preserve"> FIXE</w:t>
      </w:r>
      <w:r w:rsidR="00D86476" w:rsidRPr="00177336">
        <w:t xml:space="preserve"> les modalités de rémunération du ou d</w:t>
      </w:r>
      <w:r w:rsidR="00E9040B" w:rsidRPr="00177336">
        <w:t xml:space="preserve">es référents déontologues comme </w:t>
      </w:r>
      <w:r w:rsidR="00D86476" w:rsidRPr="00177336">
        <w:t xml:space="preserve">tel : ....................... </w:t>
      </w:r>
      <w:r w:rsidR="00374638" w:rsidRPr="00177336">
        <w:t>(</w:t>
      </w:r>
      <w:r w:rsidR="00374638" w:rsidRPr="00177336">
        <w:rPr>
          <w:i/>
        </w:rPr>
        <w:t>rappels : maximum</w:t>
      </w:r>
      <w:r w:rsidR="00374638" w:rsidRPr="00177336">
        <w:t xml:space="preserve"> </w:t>
      </w:r>
      <w:r w:rsidR="00374638" w:rsidRPr="00177336">
        <w:rPr>
          <w:i/>
        </w:rPr>
        <w:t>80 euros par personne et par dossier, maximum 300 euros pour la présidence effective d'une séance du collège d'une demi-journée, maximum 200 euros pour la participation effective à une séance du collège d'une demi-journée).</w:t>
      </w:r>
    </w:p>
    <w:p w14:paraId="0C48B0FF" w14:textId="77777777" w:rsidR="0022760F" w:rsidRPr="00177336" w:rsidRDefault="0022760F" w:rsidP="0022760F">
      <w:pPr>
        <w:pStyle w:val="M6"/>
        <w:ind w:left="0" w:firstLine="0"/>
      </w:pPr>
    </w:p>
    <w:p w14:paraId="5BBACFFF" w14:textId="77777777" w:rsidR="00776355" w:rsidRPr="00177336" w:rsidRDefault="0022760F" w:rsidP="00FE46E7">
      <w:pPr>
        <w:pStyle w:val="M6"/>
      </w:pPr>
      <w:r w:rsidRPr="00177336">
        <w:t>(</w:t>
      </w:r>
      <w:r w:rsidRPr="00177336">
        <w:rPr>
          <w:i/>
        </w:rPr>
        <w:t>Le cas échéant</w:t>
      </w:r>
      <w:r w:rsidRPr="00177336">
        <w:t xml:space="preserve">) </w:t>
      </w:r>
      <w:r w:rsidRPr="00177336">
        <w:rPr>
          <w:b/>
        </w:rPr>
        <w:t>DÉCIDE</w:t>
      </w:r>
      <w:r w:rsidRPr="00177336">
        <w:t xml:space="preserve"> que le ou les référents déontologues (ou les membres du collège) bénéficient du remboursement de leurs frais de transport et d'hébergement dans les conditions applicables aux personnels de la</w:t>
      </w:r>
      <w:r w:rsidR="00374638" w:rsidRPr="00177336">
        <w:t xml:space="preserve"> fonction publique territoriale.</w:t>
      </w:r>
    </w:p>
    <w:p w14:paraId="28CA4DAB" w14:textId="77777777" w:rsidR="00776355" w:rsidRPr="00177336" w:rsidRDefault="00776355" w:rsidP="00F3285C">
      <w:pPr>
        <w:pStyle w:val="M6"/>
      </w:pPr>
    </w:p>
    <w:p w14:paraId="74125F67" w14:textId="77777777" w:rsidR="00FE46E7" w:rsidRPr="00177336" w:rsidRDefault="00FE46E7" w:rsidP="00FE46E7">
      <w:pPr>
        <w:pStyle w:val="M6"/>
      </w:pPr>
      <w:r w:rsidRPr="00177336">
        <w:rPr>
          <w:b/>
        </w:rPr>
        <w:t>DÉCIDE</w:t>
      </w:r>
      <w:r w:rsidRPr="00177336">
        <w:t xml:space="preserve"> que cette délibération ainsi que les informations permettant de consulter le ou les référents déontologues (ou le collège) sont portées par tout moyen à la connaissance des élus locaux intéressés par </w:t>
      </w:r>
      <w:r w:rsidRPr="00177336">
        <w:rPr>
          <w:rStyle w:val="PointS"/>
          <w:rFonts w:cs="Arial"/>
        </w:rPr>
        <w:t>......................</w:t>
      </w:r>
    </w:p>
    <w:p w14:paraId="7FE2DACA" w14:textId="77777777" w:rsidR="00FE46E7" w:rsidRPr="00177336" w:rsidRDefault="00FE46E7" w:rsidP="00FE46E7">
      <w:pPr>
        <w:pStyle w:val="M6"/>
        <w:ind w:left="0" w:firstLine="0"/>
      </w:pPr>
    </w:p>
    <w:p w14:paraId="3CF078A2" w14:textId="77777777" w:rsidR="00FE46E7" w:rsidRPr="00177336" w:rsidRDefault="00FE46E7" w:rsidP="00543FB2">
      <w:pPr>
        <w:pStyle w:val="M6"/>
        <w:ind w:left="0" w:firstLine="0"/>
      </w:pPr>
    </w:p>
    <w:p w14:paraId="7050C56D" w14:textId="77777777" w:rsidR="00776355" w:rsidRPr="00177336" w:rsidRDefault="00776355" w:rsidP="00F3285C">
      <w:pPr>
        <w:pStyle w:val="M6"/>
      </w:pPr>
    </w:p>
    <w:p w14:paraId="65B2D9FC" w14:textId="77777777" w:rsidR="00F566E3" w:rsidRPr="00177336" w:rsidRDefault="00F566E3" w:rsidP="00F566E3">
      <w:pPr>
        <w:pStyle w:val="M6"/>
      </w:pPr>
      <w:r w:rsidRPr="00177336">
        <w:t>Fait à </w:t>
      </w:r>
      <w:r w:rsidRPr="00177336">
        <w:rPr>
          <w:rStyle w:val="PointS"/>
          <w:rFonts w:cs="Arial"/>
        </w:rPr>
        <w:t>......................</w:t>
      </w:r>
      <w:r w:rsidRPr="00177336">
        <w:t> , le </w:t>
      </w:r>
      <w:r w:rsidRPr="00177336">
        <w:rPr>
          <w:rStyle w:val="PointS"/>
          <w:rFonts w:cs="Arial"/>
        </w:rPr>
        <w:t>......................</w:t>
      </w:r>
      <w:bookmarkStart w:id="1" w:name="_GoBack"/>
      <w:bookmarkEnd w:id="1"/>
    </w:p>
    <w:p w14:paraId="19618E43" w14:textId="77777777" w:rsidR="00F566E3" w:rsidRPr="00177336" w:rsidRDefault="00F566E3" w:rsidP="00F566E3">
      <w:pPr>
        <w:pStyle w:val="M6"/>
      </w:pPr>
    </w:p>
    <w:p w14:paraId="4E9B6187" w14:textId="77777777" w:rsidR="00F566E3" w:rsidRPr="00177336" w:rsidRDefault="00F566E3" w:rsidP="00F566E3">
      <w:pPr>
        <w:pStyle w:val="M6"/>
        <w:rPr>
          <w:sz w:val="16"/>
          <w:szCs w:val="16"/>
        </w:rPr>
      </w:pPr>
      <w:r w:rsidRPr="00177336">
        <w:t>(</w:t>
      </w:r>
      <w:r w:rsidRPr="00177336">
        <w:rPr>
          <w:i/>
          <w:iCs/>
        </w:rPr>
        <w:t>Signatures</w:t>
      </w:r>
      <w:r w:rsidRPr="00177336">
        <w:t>)</w:t>
      </w:r>
    </w:p>
    <w:p w14:paraId="39F952EF" w14:textId="77777777" w:rsidR="00F566E3" w:rsidRPr="00177336" w:rsidRDefault="00F566E3" w:rsidP="00F566E3">
      <w:pPr>
        <w:pStyle w:val="M6"/>
      </w:pPr>
    </w:p>
    <w:p w14:paraId="2CEF5AF7" w14:textId="77777777" w:rsidR="00D210CC" w:rsidRPr="00177336" w:rsidRDefault="00D210CC" w:rsidP="00F3285C">
      <w:pPr>
        <w:pStyle w:val="M6"/>
      </w:pPr>
    </w:p>
    <w:p w14:paraId="75817BC9" w14:textId="77777777" w:rsidR="00F566E3" w:rsidRPr="00177336" w:rsidRDefault="00F566E3" w:rsidP="00F3285C">
      <w:pPr>
        <w:pStyle w:val="M6"/>
      </w:pPr>
    </w:p>
    <w:p w14:paraId="0376C7DB" w14:textId="77777777" w:rsidR="00F566E3" w:rsidRPr="00177336" w:rsidRDefault="00F566E3" w:rsidP="00F3285C">
      <w:pPr>
        <w:pStyle w:val="M6"/>
      </w:pPr>
    </w:p>
    <w:p w14:paraId="7EDDDD85" w14:textId="77777777" w:rsidR="00F566E3" w:rsidRPr="00177336" w:rsidRDefault="00F566E3" w:rsidP="00F3285C">
      <w:pPr>
        <w:pStyle w:val="M6"/>
      </w:pPr>
    </w:p>
    <w:p w14:paraId="208823AA" w14:textId="77777777" w:rsidR="00F566E3" w:rsidRPr="00177336" w:rsidRDefault="00F566E3" w:rsidP="00F3285C">
      <w:pPr>
        <w:pStyle w:val="M6"/>
      </w:pPr>
    </w:p>
    <w:p w14:paraId="21CCFD69" w14:textId="77777777" w:rsidR="00F566E3" w:rsidRPr="00177336" w:rsidRDefault="00F566E3" w:rsidP="000C6523">
      <w:pPr>
        <w:pStyle w:val="M6"/>
        <w:ind w:left="0" w:firstLine="0"/>
      </w:pPr>
    </w:p>
    <w:p w14:paraId="50227804" w14:textId="77777777" w:rsidR="00B22661" w:rsidRDefault="00B22661" w:rsidP="00B22661">
      <w:pPr>
        <w:pStyle w:val="M6"/>
      </w:pPr>
      <w:r w:rsidRPr="00177336">
        <w:t xml:space="preserve">(1) </w:t>
      </w:r>
      <w:r w:rsidRPr="00177336">
        <w:rPr>
          <w:i/>
        </w:rPr>
        <w:t>Les membres du collège désignés comme rapporteurs peuvent cumuler l’indemnité de 80 euros par dossier et une des deux indemnités prévues aux 1° et 2°.</w:t>
      </w:r>
    </w:p>
    <w:p w14:paraId="5563073F" w14:textId="77777777" w:rsidR="00D210CC" w:rsidRPr="00F3285C" w:rsidRDefault="00D210CC" w:rsidP="00F3285C">
      <w:pPr>
        <w:pStyle w:val="M6"/>
      </w:pPr>
    </w:p>
    <w:sectPr w:rsidR="00D210CC" w:rsidRPr="00F3285C">
      <w:footerReference w:type="default" r:id="rId8"/>
      <w:pgSz w:w="11906" w:h="16838"/>
      <w:pgMar w:top="1417" w:right="1417" w:bottom="1417" w:left="1417"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0" w:author="Elodie Baldet" w:date="2026-03-16T13:39:00Z" w:initials="EB">
    <w:p w14:paraId="5319D4E7" w14:textId="77777777" w:rsidR="00000000" w:rsidRDefault="00B739C1">
      <w:pPr>
        <w:pStyle w:val="Commentaire"/>
      </w:pPr>
      <w:r>
        <w:rPr>
          <w:rStyle w:val="Marquedecommentaire"/>
        </w:rPr>
        <w:annotationRef/>
      </w:r>
      <w:r w:rsidRPr="00177336">
        <w:t>1111-1-1</w:t>
      </w:r>
    </w:p>
  </w:comment>
</w:comments>
</file>

<file path=word/commentsExtended.xml><?xml version="1.0" encoding="utf-8"?>
<w15:commentsEx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5319D4E7" w15:done="0"/>
</w15:commentsEx>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2303E02" w14:textId="77777777" w:rsidR="0020292C" w:rsidRDefault="0020292C">
      <w:r>
        <w:separator/>
      </w:r>
    </w:p>
  </w:endnote>
  <w:endnote w:type="continuationSeparator" w:id="0">
    <w:p w14:paraId="39CF6CE0" w14:textId="77777777" w:rsidR="0020292C" w:rsidRDefault="002029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altName w:val="Times New Roman"/>
    <w:panose1 w:val="02020603050405020304"/>
    <w:charset w:val="00"/>
    <w:family w:val="roman"/>
    <w:pitch w:val="variable"/>
    <w:sig w:usb0="E0002EFF" w:usb1="C000785B" w:usb2="00000009" w:usb3="00000000" w:csb0="000001FF" w:csb1="00000000"/>
  </w:font>
  <w:font w:name="Arial">
    <w:altName w:val="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Gras">
    <w:altName w:val="Times"/>
    <w:panose1 w:val="00000000000000000000"/>
    <w:charset w:val="00"/>
    <w:family w:val="swiss"/>
    <w:notTrueType/>
    <w:pitch w:val="variable"/>
    <w:sig w:usb0="00000003" w:usb1="00000000" w:usb2="00000000" w:usb3="00000000" w:csb0="00000001" w:csb1="00000000"/>
  </w:font>
  <w:font w:name="Helvetica">
    <w:altName w:val="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Ind w:w="113" w:type="dxa"/>
      <w:tblCellMar>
        <w:left w:w="70" w:type="dxa"/>
        <w:right w:w="70" w:type="dxa"/>
      </w:tblCellMar>
      <w:tblLook w:val="0000" w:firstRow="0" w:lastRow="0" w:firstColumn="0" w:lastColumn="0" w:noHBand="0" w:noVBand="0"/>
    </w:tblPr>
    <w:tblGrid>
      <w:gridCol w:w="2509"/>
    </w:tblGrid>
    <w:tr w:rsidR="000C0EBD" w14:paraId="2369162A" w14:textId="77777777">
      <w:tc>
        <w:tcPr>
          <w:tcW w:w="2509" w:type="dxa"/>
        </w:tcPr>
        <w:p w14:paraId="77F8EB55" w14:textId="77777777" w:rsidR="000C0EBD" w:rsidRDefault="000C0EBD">
          <w:pPr>
            <w:pStyle w:val="L1"/>
          </w:pPr>
        </w:p>
      </w:tc>
    </w:tr>
  </w:tbl>
  <w:p w14:paraId="11840D85" w14:textId="77777777" w:rsidR="000C0EBD" w:rsidRDefault="000C0EBD">
    <w:pPr>
      <w:pStyle w:val="Corpsdetexte"/>
      <w:rPr>
        <w:rFonts w:cs="Arial"/>
        <w:sz w:val="14"/>
        <w:szCs w:val="14"/>
      </w:rPr>
    </w:pPr>
    <w:r>
      <w:rPr>
        <w:rFonts w:cs="Arial"/>
        <w:sz w:val="14"/>
        <w:szCs w:val="14"/>
      </w:rPr>
      <w:t>Ce document est destiné à faciliter l’élaboration d’actes officiels. Étant susceptible d’adaptations, il ne peut en aucun cas être considéré comme un document définiti</w:t>
    </w:r>
    <w:r w:rsidR="007E305A">
      <w:rPr>
        <w:rFonts w:cs="Arial"/>
        <w:sz w:val="14"/>
        <w:szCs w:val="14"/>
      </w:rPr>
      <w:t>f engageant la responsabilité du Groupe</w:t>
    </w:r>
    <w:r>
      <w:rPr>
        <w:rFonts w:cs="Arial"/>
        <w:sz w:val="14"/>
        <w:szCs w:val="14"/>
      </w:rPr>
      <w:t xml:space="preserve"> Pédagofiche.</w:t>
    </w:r>
  </w:p>
  <w:p w14:paraId="12076D01" w14:textId="77777777" w:rsidR="000C0EBD" w:rsidRDefault="000C0EBD">
    <w:pPr>
      <w:pStyle w:val="Pieddepage"/>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2A7211F" w14:textId="77777777" w:rsidR="0020292C" w:rsidRDefault="0020292C">
      <w:r>
        <w:separator/>
      </w:r>
    </w:p>
  </w:footnote>
  <w:footnote w:type="continuationSeparator" w:id="0">
    <w:p w14:paraId="18C0607F" w14:textId="77777777" w:rsidR="0020292C" w:rsidRDefault="0020292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2536F"/>
    <w:rsid w:val="0001218E"/>
    <w:rsid w:val="000A00CE"/>
    <w:rsid w:val="000C0119"/>
    <w:rsid w:val="000C0EBD"/>
    <w:rsid w:val="000C6523"/>
    <w:rsid w:val="000D0F7C"/>
    <w:rsid w:val="00127908"/>
    <w:rsid w:val="00174A88"/>
    <w:rsid w:val="00177336"/>
    <w:rsid w:val="001E11CB"/>
    <w:rsid w:val="0020292C"/>
    <w:rsid w:val="0020549B"/>
    <w:rsid w:val="0022760F"/>
    <w:rsid w:val="0026678B"/>
    <w:rsid w:val="002E4FD7"/>
    <w:rsid w:val="002E5291"/>
    <w:rsid w:val="00341049"/>
    <w:rsid w:val="00374638"/>
    <w:rsid w:val="0038613B"/>
    <w:rsid w:val="003F58F8"/>
    <w:rsid w:val="004060D1"/>
    <w:rsid w:val="00497E52"/>
    <w:rsid w:val="005310CC"/>
    <w:rsid w:val="00543FB2"/>
    <w:rsid w:val="00560E2F"/>
    <w:rsid w:val="0059513A"/>
    <w:rsid w:val="00654662"/>
    <w:rsid w:val="006A6C8D"/>
    <w:rsid w:val="006B1D72"/>
    <w:rsid w:val="006F0CCD"/>
    <w:rsid w:val="00767378"/>
    <w:rsid w:val="00776355"/>
    <w:rsid w:val="007E305A"/>
    <w:rsid w:val="007F1374"/>
    <w:rsid w:val="00837E51"/>
    <w:rsid w:val="00841F73"/>
    <w:rsid w:val="00857791"/>
    <w:rsid w:val="008844F0"/>
    <w:rsid w:val="00891AC4"/>
    <w:rsid w:val="00891F40"/>
    <w:rsid w:val="00894944"/>
    <w:rsid w:val="008F0B01"/>
    <w:rsid w:val="008F430B"/>
    <w:rsid w:val="00902DFB"/>
    <w:rsid w:val="00911A37"/>
    <w:rsid w:val="0092536F"/>
    <w:rsid w:val="00932B2A"/>
    <w:rsid w:val="00957BDA"/>
    <w:rsid w:val="0099265E"/>
    <w:rsid w:val="00AA2CBF"/>
    <w:rsid w:val="00B024F4"/>
    <w:rsid w:val="00B20765"/>
    <w:rsid w:val="00B22661"/>
    <w:rsid w:val="00B33234"/>
    <w:rsid w:val="00B44041"/>
    <w:rsid w:val="00B63412"/>
    <w:rsid w:val="00B739C1"/>
    <w:rsid w:val="00B837C6"/>
    <w:rsid w:val="00B944D6"/>
    <w:rsid w:val="00BB0532"/>
    <w:rsid w:val="00BB1016"/>
    <w:rsid w:val="00C10494"/>
    <w:rsid w:val="00C353CA"/>
    <w:rsid w:val="00CE3DA3"/>
    <w:rsid w:val="00D100A6"/>
    <w:rsid w:val="00D210CC"/>
    <w:rsid w:val="00D86476"/>
    <w:rsid w:val="00DA167D"/>
    <w:rsid w:val="00DE3807"/>
    <w:rsid w:val="00DF6A34"/>
    <w:rsid w:val="00E55403"/>
    <w:rsid w:val="00E82B1E"/>
    <w:rsid w:val="00E83CCD"/>
    <w:rsid w:val="00E9040B"/>
    <w:rsid w:val="00EB7DB2"/>
    <w:rsid w:val="00EE4070"/>
    <w:rsid w:val="00F026EB"/>
    <w:rsid w:val="00F3285C"/>
    <w:rsid w:val="00F337E5"/>
    <w:rsid w:val="00F464F7"/>
    <w:rsid w:val="00F566E3"/>
    <w:rsid w:val="00FE46E7"/>
    <w:rsid w:val="00FE7A1F"/>
    <w:rsid w:val="00FF5CA0"/>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F698A18"/>
  <w14:defaultImageDpi w14:val="0"/>
  <w15:docId w15:val="{45DC4DCA-DAD8-495B-B0C0-3928A15A68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Titre3">
    <w:name w:val="heading 3"/>
    <w:basedOn w:val="Normal"/>
    <w:next w:val="Normal"/>
    <w:link w:val="Titre3Car"/>
    <w:uiPriority w:val="9"/>
    <w:qFormat/>
    <w:pPr>
      <w:keepNext/>
      <w:spacing w:before="240" w:after="60"/>
      <w:outlineLvl w:val="2"/>
    </w:pPr>
    <w:rPr>
      <w:rFonts w:ascii="Arial" w:hAnsi="Arial" w:cs="Arial"/>
      <w:b/>
      <w:bCs/>
      <w:sz w:val="26"/>
      <w:szCs w:val="26"/>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3Car">
    <w:name w:val="Titre 3 Car"/>
    <w:basedOn w:val="Policepardfaut"/>
    <w:link w:val="Titre3"/>
    <w:uiPriority w:val="9"/>
    <w:semiHidden/>
    <w:locked/>
    <w:rPr>
      <w:rFonts w:asciiTheme="majorHAnsi" w:eastAsiaTheme="majorEastAsia" w:hAnsiTheme="majorHAnsi" w:cs="Times New Roman"/>
      <w:b/>
      <w:bCs/>
      <w:sz w:val="26"/>
      <w:szCs w:val="26"/>
    </w:rPr>
  </w:style>
  <w:style w:type="paragraph" w:customStyle="1" w:styleId="M4">
    <w:name w:val="M4"/>
    <w:basedOn w:val="Normal"/>
    <w:pPr>
      <w:widowControl w:val="0"/>
      <w:spacing w:before="120"/>
      <w:ind w:left="113" w:right="57"/>
    </w:pPr>
    <w:rPr>
      <w:rFonts w:ascii="Arial" w:hAnsi="Arial"/>
      <w:b/>
      <w:color w:val="000080"/>
      <w:sz w:val="22"/>
      <w:szCs w:val="20"/>
    </w:rPr>
  </w:style>
  <w:style w:type="paragraph" w:customStyle="1" w:styleId="M10">
    <w:name w:val="M10"/>
    <w:basedOn w:val="Normal"/>
    <w:pPr>
      <w:widowControl w:val="0"/>
      <w:spacing w:before="40"/>
      <w:ind w:left="113" w:right="57"/>
    </w:pPr>
    <w:rPr>
      <w:rFonts w:ascii="Arial" w:hAnsi="Arial"/>
      <w:b/>
      <w:color w:val="800000"/>
      <w:sz w:val="18"/>
      <w:szCs w:val="20"/>
    </w:rPr>
  </w:style>
  <w:style w:type="paragraph" w:customStyle="1" w:styleId="M6">
    <w:name w:val="M6"/>
    <w:basedOn w:val="Normal"/>
    <w:link w:val="M6Car"/>
    <w:uiPriority w:val="99"/>
    <w:pPr>
      <w:widowControl w:val="0"/>
      <w:spacing w:before="20"/>
      <w:ind w:left="113" w:right="57" w:firstLine="113"/>
      <w:jc w:val="both"/>
    </w:pPr>
    <w:rPr>
      <w:rFonts w:ascii="Arial" w:hAnsi="Arial"/>
      <w:sz w:val="18"/>
      <w:szCs w:val="20"/>
    </w:rPr>
  </w:style>
  <w:style w:type="paragraph" w:styleId="En-tte">
    <w:name w:val="header"/>
    <w:basedOn w:val="Normal"/>
    <w:link w:val="En-tteCar"/>
    <w:uiPriority w:val="99"/>
    <w:pPr>
      <w:tabs>
        <w:tab w:val="center" w:pos="4536"/>
        <w:tab w:val="right" w:pos="9072"/>
      </w:tabs>
    </w:pPr>
  </w:style>
  <w:style w:type="character" w:customStyle="1" w:styleId="En-tteCar">
    <w:name w:val="En-tête Car"/>
    <w:basedOn w:val="Policepardfaut"/>
    <w:link w:val="En-tte"/>
    <w:uiPriority w:val="99"/>
    <w:semiHidden/>
    <w:locked/>
    <w:rPr>
      <w:rFonts w:cs="Times New Roman"/>
      <w:sz w:val="24"/>
      <w:szCs w:val="24"/>
    </w:rPr>
  </w:style>
  <w:style w:type="paragraph" w:styleId="Pieddepage">
    <w:name w:val="footer"/>
    <w:basedOn w:val="Normal"/>
    <w:link w:val="PieddepageCar"/>
    <w:uiPriority w:val="99"/>
    <w:pPr>
      <w:tabs>
        <w:tab w:val="center" w:pos="4536"/>
        <w:tab w:val="right" w:pos="9072"/>
      </w:tabs>
    </w:pPr>
  </w:style>
  <w:style w:type="character" w:customStyle="1" w:styleId="PieddepageCar">
    <w:name w:val="Pied de page Car"/>
    <w:basedOn w:val="Policepardfaut"/>
    <w:link w:val="Pieddepage"/>
    <w:uiPriority w:val="99"/>
    <w:semiHidden/>
    <w:locked/>
    <w:rPr>
      <w:rFonts w:cs="Times New Roman"/>
      <w:sz w:val="24"/>
      <w:szCs w:val="24"/>
    </w:rPr>
  </w:style>
  <w:style w:type="paragraph" w:customStyle="1" w:styleId="L1">
    <w:name w:val="L1"/>
    <w:basedOn w:val="Normal"/>
    <w:pPr>
      <w:pBdr>
        <w:top w:val="single" w:sz="6" w:space="1" w:color="auto"/>
      </w:pBdr>
      <w:autoSpaceDE w:val="0"/>
      <w:autoSpaceDN w:val="0"/>
      <w:spacing w:line="20" w:lineRule="exact"/>
      <w:ind w:left="-57" w:right="-57"/>
      <w:jc w:val="center"/>
    </w:pPr>
    <w:rPr>
      <w:rFonts w:ascii="Arial" w:hAnsi="Arial" w:cs="Arial"/>
      <w:sz w:val="18"/>
      <w:szCs w:val="18"/>
    </w:rPr>
  </w:style>
  <w:style w:type="paragraph" w:styleId="Corpsdetexte">
    <w:name w:val="Body Text"/>
    <w:basedOn w:val="Normal"/>
    <w:link w:val="CorpsdetexteCar"/>
    <w:uiPriority w:val="99"/>
    <w:pPr>
      <w:jc w:val="both"/>
    </w:pPr>
    <w:rPr>
      <w:rFonts w:ascii="Arial" w:hAnsi="Arial"/>
      <w:sz w:val="48"/>
      <w:szCs w:val="48"/>
    </w:rPr>
  </w:style>
  <w:style w:type="character" w:customStyle="1" w:styleId="CorpsdetexteCar">
    <w:name w:val="Corps de texte Car"/>
    <w:basedOn w:val="Policepardfaut"/>
    <w:link w:val="Corpsdetexte"/>
    <w:uiPriority w:val="99"/>
    <w:semiHidden/>
    <w:locked/>
    <w:rPr>
      <w:rFonts w:cs="Times New Roman"/>
      <w:sz w:val="24"/>
      <w:szCs w:val="24"/>
    </w:rPr>
  </w:style>
  <w:style w:type="paragraph" w:customStyle="1" w:styleId="Rubriq">
    <w:name w:val="Rubriq"/>
    <w:basedOn w:val="Corpsdetexte"/>
    <w:pPr>
      <w:autoSpaceDE w:val="0"/>
      <w:autoSpaceDN w:val="0"/>
      <w:spacing w:after="120"/>
      <w:ind w:right="57"/>
      <w:jc w:val="left"/>
    </w:pPr>
    <w:rPr>
      <w:rFonts w:cs="Arial"/>
      <w:vanish/>
      <w:color w:val="FF00FF"/>
      <w:sz w:val="28"/>
      <w:szCs w:val="28"/>
    </w:rPr>
  </w:style>
  <w:style w:type="paragraph" w:customStyle="1" w:styleId="Rubriqsuite">
    <w:name w:val="Rubriq (suite)"/>
    <w:basedOn w:val="Rubriq"/>
    <w:next w:val="Normal"/>
  </w:style>
  <w:style w:type="character" w:customStyle="1" w:styleId="PointS">
    <w:name w:val="PointS"/>
    <w:basedOn w:val="Policepardfaut"/>
    <w:uiPriority w:val="99"/>
    <w:rPr>
      <w:rFonts w:cs="Times New Roman"/>
      <w:sz w:val="16"/>
      <w:szCs w:val="16"/>
    </w:rPr>
  </w:style>
  <w:style w:type="paragraph" w:customStyle="1" w:styleId="M3">
    <w:name w:val="M3"/>
    <w:basedOn w:val="Titre3"/>
    <w:next w:val="Normal"/>
    <w:pPr>
      <w:suppressAutoHyphens/>
      <w:spacing w:after="120"/>
      <w:jc w:val="center"/>
    </w:pPr>
    <w:rPr>
      <w:rFonts w:ascii="Arial Gras" w:hAnsi="Arial Gras"/>
      <w:color w:val="333399"/>
      <w:sz w:val="24"/>
    </w:rPr>
  </w:style>
  <w:style w:type="paragraph" w:customStyle="1" w:styleId="Tbl">
    <w:name w:val="Tbl"/>
    <w:basedOn w:val="Normal"/>
    <w:pPr>
      <w:spacing w:before="40" w:after="40" w:line="206" w:lineRule="exact"/>
    </w:pPr>
    <w:rPr>
      <w:spacing w:val="4"/>
      <w:w w:val="105"/>
      <w:sz w:val="22"/>
    </w:rPr>
  </w:style>
  <w:style w:type="paragraph" w:customStyle="1" w:styleId="Tblcatgorie">
    <w:name w:val="Tbl (catégorie)"/>
    <w:basedOn w:val="Tbl"/>
    <w:pPr>
      <w:spacing w:before="240" w:after="120"/>
      <w:ind w:left="142"/>
    </w:pPr>
    <w:rPr>
      <w:i/>
    </w:rPr>
  </w:style>
  <w:style w:type="paragraph" w:customStyle="1" w:styleId="Tblen-tteliste2">
    <w:name w:val="Tbl (en-tête liste 2)"/>
    <w:basedOn w:val="Tbl"/>
    <w:pPr>
      <w:spacing w:after="60"/>
      <w:ind w:left="170"/>
    </w:pPr>
  </w:style>
  <w:style w:type="paragraph" w:customStyle="1" w:styleId="Tblen-tteliste">
    <w:name w:val="Tbl (en-tête liste)"/>
    <w:basedOn w:val="Tbl"/>
    <w:pPr>
      <w:ind w:left="113" w:hanging="113"/>
    </w:pPr>
    <w:rPr>
      <w:b/>
      <w:sz w:val="20"/>
    </w:rPr>
  </w:style>
  <w:style w:type="paragraph" w:customStyle="1" w:styleId="Tblquation">
    <w:name w:val="Tbl (équation)"/>
    <w:basedOn w:val="Tbl"/>
    <w:pPr>
      <w:spacing w:before="80"/>
      <w:jc w:val="right"/>
    </w:pPr>
  </w:style>
  <w:style w:type="paragraph" w:customStyle="1" w:styleId="Tblfraction">
    <w:name w:val="Tbl (fraction)"/>
    <w:basedOn w:val="Tbl"/>
    <w:pPr>
      <w:spacing w:before="0"/>
      <w:jc w:val="center"/>
    </w:pPr>
  </w:style>
  <w:style w:type="paragraph" w:customStyle="1" w:styleId="Tblinterligne">
    <w:name w:val="Tbl (interligne)"/>
    <w:basedOn w:val="Tbl"/>
    <w:pPr>
      <w:spacing w:before="0" w:line="120" w:lineRule="exact"/>
    </w:pPr>
  </w:style>
  <w:style w:type="paragraph" w:customStyle="1" w:styleId="Tblliste1">
    <w:name w:val="Tbl (liste 1)"/>
    <w:basedOn w:val="Tbl"/>
    <w:pPr>
      <w:spacing w:before="0"/>
      <w:ind w:left="283" w:hanging="113"/>
    </w:pPr>
  </w:style>
  <w:style w:type="paragraph" w:customStyle="1" w:styleId="Tblliste2">
    <w:name w:val="Tbl (liste 2)"/>
    <w:basedOn w:val="Tbl"/>
    <w:pPr>
      <w:spacing w:before="0" w:after="60"/>
      <w:ind w:left="284"/>
    </w:pPr>
  </w:style>
  <w:style w:type="paragraph" w:customStyle="1" w:styleId="Tblliste3">
    <w:name w:val="Tbl (liste 3)"/>
    <w:basedOn w:val="Tbl"/>
    <w:pPr>
      <w:spacing w:before="0" w:after="60"/>
      <w:ind w:left="454"/>
    </w:pPr>
    <w:rPr>
      <w:i/>
    </w:rPr>
  </w:style>
  <w:style w:type="paragraph" w:customStyle="1" w:styleId="Tblnombre">
    <w:name w:val="Tbl (nombre)"/>
    <w:basedOn w:val="Tbl"/>
    <w:pPr>
      <w:spacing w:before="0" w:after="60"/>
      <w:jc w:val="right"/>
    </w:pPr>
  </w:style>
  <w:style w:type="paragraph" w:customStyle="1" w:styleId="Tbltexte">
    <w:name w:val="Tbl (texte)"/>
    <w:basedOn w:val="Normal"/>
    <w:pPr>
      <w:overflowPunct w:val="0"/>
      <w:autoSpaceDE w:val="0"/>
      <w:autoSpaceDN w:val="0"/>
      <w:adjustRightInd w:val="0"/>
      <w:spacing w:after="60"/>
      <w:textAlignment w:val="baseline"/>
    </w:pPr>
    <w:rPr>
      <w:rFonts w:ascii="Arial" w:hAnsi="Arial"/>
      <w:sz w:val="18"/>
      <w:szCs w:val="20"/>
    </w:rPr>
  </w:style>
  <w:style w:type="paragraph" w:customStyle="1" w:styleId="Tblpuce1">
    <w:name w:val="Tbl (puce 1)"/>
    <w:basedOn w:val="Tbltexte"/>
    <w:pPr>
      <w:tabs>
        <w:tab w:val="left" w:pos="312"/>
      </w:tabs>
      <w:ind w:left="312" w:hanging="312"/>
    </w:pPr>
  </w:style>
  <w:style w:type="paragraph" w:customStyle="1" w:styleId="TblTexteCentr">
    <w:name w:val="Tbl (Texte Centré)"/>
    <w:basedOn w:val="Tbltexte"/>
    <w:pPr>
      <w:jc w:val="center"/>
    </w:pPr>
  </w:style>
  <w:style w:type="paragraph" w:customStyle="1" w:styleId="Tbltextegras">
    <w:name w:val="Tbl (texte gras)"/>
    <w:basedOn w:val="Tbltexte"/>
    <w:rPr>
      <w:b/>
    </w:rPr>
  </w:style>
  <w:style w:type="paragraph" w:customStyle="1" w:styleId="Tbltexteretraitngatif">
    <w:name w:val="Tbl (texte retrait négatif)"/>
    <w:basedOn w:val="Tbltexte"/>
    <w:pPr>
      <w:ind w:left="113" w:hanging="113"/>
    </w:pPr>
  </w:style>
  <w:style w:type="paragraph" w:customStyle="1" w:styleId="Tbltextessfilet">
    <w:name w:val="Tbl (texte ss filet)"/>
    <w:basedOn w:val="Tbltexte"/>
    <w:pPr>
      <w:spacing w:before="80"/>
    </w:pPr>
  </w:style>
  <w:style w:type="paragraph" w:customStyle="1" w:styleId="Tbltextessfiletgras">
    <w:name w:val="Tbl (texte ss filet gras)"/>
    <w:basedOn w:val="Tbltextessfilet"/>
    <w:rPr>
      <w:b/>
    </w:rPr>
  </w:style>
  <w:style w:type="paragraph" w:customStyle="1" w:styleId="Tbltextesurfilet">
    <w:name w:val="Tbl (texte sur filet)"/>
    <w:basedOn w:val="Tbltexte"/>
    <w:pPr>
      <w:spacing w:after="80"/>
    </w:pPr>
  </w:style>
  <w:style w:type="paragraph" w:customStyle="1" w:styleId="TblTexte0">
    <w:name w:val="Tbl (Texte)"/>
    <w:basedOn w:val="Corpsdetexte"/>
    <w:pPr>
      <w:spacing w:before="40" w:after="40"/>
      <w:ind w:left="113" w:right="57"/>
      <w:jc w:val="left"/>
    </w:pPr>
    <w:rPr>
      <w:sz w:val="18"/>
      <w:szCs w:val="20"/>
    </w:rPr>
  </w:style>
  <w:style w:type="paragraph" w:customStyle="1" w:styleId="Tbltitrebleu">
    <w:name w:val="Tbl (titre bleu)"/>
    <w:basedOn w:val="Tbl"/>
    <w:pPr>
      <w:spacing w:before="120" w:after="80"/>
    </w:pPr>
    <w:rPr>
      <w:rFonts w:ascii="Arial" w:hAnsi="Arial"/>
      <w:color w:val="0000FF"/>
      <w:sz w:val="21"/>
    </w:rPr>
  </w:style>
  <w:style w:type="paragraph" w:customStyle="1" w:styleId="Tbltitrenoir">
    <w:name w:val="Tbl (titre noir)"/>
    <w:basedOn w:val="Tbltitrebleu"/>
    <w:rPr>
      <w:color w:val="auto"/>
    </w:rPr>
  </w:style>
  <w:style w:type="paragraph" w:customStyle="1" w:styleId="Tbltitre">
    <w:name w:val="Tbl (titre)"/>
    <w:basedOn w:val="Normal"/>
    <w:pPr>
      <w:spacing w:before="120" w:after="80" w:line="206" w:lineRule="exact"/>
      <w:jc w:val="center"/>
    </w:pPr>
    <w:rPr>
      <w:rFonts w:ascii="Arial" w:hAnsi="Arial"/>
      <w:color w:val="0000FF"/>
      <w:spacing w:val="4"/>
      <w:w w:val="105"/>
      <w:sz w:val="22"/>
    </w:rPr>
  </w:style>
  <w:style w:type="paragraph" w:customStyle="1" w:styleId="M1">
    <w:name w:val="M1"/>
    <w:basedOn w:val="Normal"/>
    <w:next w:val="Normal"/>
    <w:pPr>
      <w:widowControl w:val="0"/>
      <w:jc w:val="center"/>
    </w:pPr>
    <w:rPr>
      <w:rFonts w:ascii="Arial Gras" w:hAnsi="Arial Gras"/>
      <w:b/>
      <w:bCs/>
      <w:vanish/>
      <w:color w:val="FF9900"/>
      <w:sz w:val="28"/>
      <w:szCs w:val="28"/>
    </w:rPr>
  </w:style>
  <w:style w:type="paragraph" w:customStyle="1" w:styleId="M1suite">
    <w:name w:val="M1(suite)"/>
    <w:basedOn w:val="Normal"/>
    <w:pPr>
      <w:widowControl w:val="0"/>
      <w:jc w:val="center"/>
    </w:pPr>
    <w:rPr>
      <w:rFonts w:ascii="Arial Gras" w:hAnsi="Arial Gras"/>
      <w:b/>
      <w:bCs/>
      <w:vanish/>
      <w:color w:val="FF9900"/>
      <w:sz w:val="28"/>
      <w:szCs w:val="28"/>
    </w:rPr>
  </w:style>
  <w:style w:type="paragraph" w:customStyle="1" w:styleId="TblTexteSansfond">
    <w:name w:val="Tbl (Texte) Sans fond"/>
    <w:basedOn w:val="TblTexte0"/>
  </w:style>
  <w:style w:type="paragraph" w:customStyle="1" w:styleId="Tbltitrecentr">
    <w:name w:val="Tbl (titre centré)"/>
    <w:basedOn w:val="Normal"/>
    <w:pPr>
      <w:spacing w:before="120" w:after="60"/>
      <w:ind w:left="170" w:right="170"/>
      <w:jc w:val="center"/>
    </w:pPr>
    <w:rPr>
      <w:sz w:val="18"/>
      <w:szCs w:val="18"/>
    </w:rPr>
  </w:style>
  <w:style w:type="paragraph" w:customStyle="1" w:styleId="Tblsous-stitrecentr">
    <w:name w:val="Tbl (sous-stitre centré)"/>
    <w:basedOn w:val="Tbltitrecentr"/>
    <w:rPr>
      <w:rFonts w:ascii="Helvetica" w:hAnsi="Helvetica" w:cs="Helvetica"/>
      <w:sz w:val="16"/>
      <w:szCs w:val="16"/>
    </w:rPr>
  </w:style>
  <w:style w:type="paragraph" w:customStyle="1" w:styleId="Tblsous-titregauche">
    <w:name w:val="Tbl (sous-titre gauche)"/>
    <w:basedOn w:val="Normal"/>
    <w:pPr>
      <w:spacing w:before="120" w:after="60"/>
      <w:ind w:left="170" w:right="170"/>
    </w:pPr>
    <w:rPr>
      <w:rFonts w:ascii="Helvetica" w:hAnsi="Helvetica" w:cs="Helvetica"/>
      <w:sz w:val="16"/>
      <w:szCs w:val="16"/>
    </w:rPr>
  </w:style>
  <w:style w:type="paragraph" w:customStyle="1" w:styleId="Tbltextecentrvertical">
    <w:name w:val="Tbl (texte centré vertical)"/>
    <w:basedOn w:val="Tbltitrecentr"/>
  </w:style>
  <w:style w:type="paragraph" w:customStyle="1" w:styleId="Tbltextegauchevertical">
    <w:name w:val="Tbl (texte gauche vertical)"/>
    <w:basedOn w:val="Tbltitrecentr"/>
    <w:pPr>
      <w:jc w:val="left"/>
    </w:pPr>
    <w:rPr>
      <w:rFonts w:ascii="Helvetica" w:hAnsi="Helvetica" w:cs="Helvetica"/>
    </w:rPr>
  </w:style>
  <w:style w:type="paragraph" w:customStyle="1" w:styleId="M9">
    <w:name w:val="M9"/>
    <w:basedOn w:val="Corpsdetexte"/>
    <w:pPr>
      <w:spacing w:after="120"/>
      <w:jc w:val="left"/>
    </w:pPr>
    <w:rPr>
      <w:rFonts w:ascii="Times New Roman" w:hAnsi="Times New Roman" w:cs="Arial"/>
      <w:i/>
      <w:spacing w:val="2"/>
      <w:sz w:val="22"/>
      <w:szCs w:val="24"/>
    </w:rPr>
  </w:style>
  <w:style w:type="paragraph" w:customStyle="1" w:styleId="M3alt">
    <w:name w:val="M3alt"/>
    <w:basedOn w:val="Normal"/>
    <w:rsid w:val="00957BDA"/>
    <w:pPr>
      <w:widowControl w:val="0"/>
      <w:jc w:val="center"/>
    </w:pPr>
    <w:rPr>
      <w:b/>
      <w:bCs/>
      <w:vanish/>
      <w:color w:val="FF9900"/>
      <w:sz w:val="22"/>
      <w:szCs w:val="22"/>
    </w:rPr>
  </w:style>
  <w:style w:type="paragraph" w:customStyle="1" w:styleId="M1alt">
    <w:name w:val="M1alt"/>
    <w:basedOn w:val="M1"/>
    <w:rsid w:val="00E55403"/>
    <w:rPr>
      <w:color w:val="99CC00"/>
    </w:rPr>
  </w:style>
  <w:style w:type="character" w:customStyle="1" w:styleId="M6Car">
    <w:name w:val="M6 Car"/>
    <w:link w:val="M6"/>
    <w:uiPriority w:val="99"/>
    <w:locked/>
    <w:rsid w:val="0092536F"/>
    <w:rPr>
      <w:rFonts w:ascii="Arial" w:hAnsi="Arial"/>
      <w:sz w:val="18"/>
    </w:rPr>
  </w:style>
  <w:style w:type="character" w:styleId="Marquedecommentaire">
    <w:name w:val="annotation reference"/>
    <w:basedOn w:val="Policepardfaut"/>
    <w:uiPriority w:val="99"/>
    <w:rsid w:val="000D0F7C"/>
    <w:rPr>
      <w:rFonts w:cs="Times New Roman"/>
      <w:sz w:val="16"/>
      <w:szCs w:val="16"/>
    </w:rPr>
  </w:style>
  <w:style w:type="paragraph" w:styleId="Commentaire">
    <w:name w:val="annotation text"/>
    <w:basedOn w:val="Normal"/>
    <w:link w:val="CommentaireCar"/>
    <w:uiPriority w:val="99"/>
    <w:rsid w:val="000D0F7C"/>
    <w:rPr>
      <w:sz w:val="20"/>
      <w:szCs w:val="20"/>
    </w:rPr>
  </w:style>
  <w:style w:type="character" w:customStyle="1" w:styleId="CommentaireCar">
    <w:name w:val="Commentaire Car"/>
    <w:basedOn w:val="Policepardfaut"/>
    <w:link w:val="Commentaire"/>
    <w:uiPriority w:val="99"/>
    <w:locked/>
    <w:rsid w:val="000D0F7C"/>
    <w:rPr>
      <w:rFonts w:cs="Times New Roman"/>
    </w:rPr>
  </w:style>
  <w:style w:type="paragraph" w:styleId="Objetducommentaire">
    <w:name w:val="annotation subject"/>
    <w:basedOn w:val="Commentaire"/>
    <w:next w:val="Commentaire"/>
    <w:link w:val="ObjetducommentaireCar"/>
    <w:uiPriority w:val="99"/>
    <w:rsid w:val="000D0F7C"/>
    <w:rPr>
      <w:b/>
      <w:bCs/>
    </w:rPr>
  </w:style>
  <w:style w:type="character" w:customStyle="1" w:styleId="ObjetducommentaireCar">
    <w:name w:val="Objet du commentaire Car"/>
    <w:basedOn w:val="CommentaireCar"/>
    <w:link w:val="Objetducommentaire"/>
    <w:uiPriority w:val="99"/>
    <w:locked/>
    <w:rsid w:val="000D0F7C"/>
    <w:rPr>
      <w:rFonts w:cs="Times New Roman"/>
      <w:b/>
      <w:bCs/>
    </w:rPr>
  </w:style>
  <w:style w:type="paragraph" w:styleId="Textedebulles">
    <w:name w:val="Balloon Text"/>
    <w:basedOn w:val="Normal"/>
    <w:link w:val="TextedebullesCar"/>
    <w:uiPriority w:val="99"/>
    <w:rsid w:val="000D0F7C"/>
    <w:rPr>
      <w:rFonts w:ascii="Segoe UI" w:hAnsi="Segoe UI" w:cs="Segoe UI"/>
      <w:sz w:val="18"/>
      <w:szCs w:val="18"/>
    </w:rPr>
  </w:style>
  <w:style w:type="character" w:customStyle="1" w:styleId="TextedebullesCar">
    <w:name w:val="Texte de bulles Car"/>
    <w:basedOn w:val="Policepardfaut"/>
    <w:link w:val="Textedebulles"/>
    <w:uiPriority w:val="99"/>
    <w:locked/>
    <w:rsid w:val="000D0F7C"/>
    <w:rPr>
      <w:rFonts w:ascii="Segoe UI" w:hAnsi="Segoe UI" w:cs="Segoe UI"/>
      <w:sz w:val="18"/>
      <w:szCs w:val="18"/>
    </w:rPr>
  </w:style>
  <w:style w:type="character" w:styleId="Lienhypertexte">
    <w:name w:val="Hyperlink"/>
    <w:basedOn w:val="Policepardfaut"/>
    <w:uiPriority w:val="99"/>
    <w:rsid w:val="000D0F7C"/>
    <w:rPr>
      <w:rFonts w:cs="Times New Roman"/>
      <w:color w:val="0563C1" w:themeColor="hyperlink"/>
      <w:u w:val="single"/>
    </w:rPr>
  </w:style>
  <w:style w:type="character" w:styleId="Lienhypertextesuivivisit">
    <w:name w:val="FollowedHyperlink"/>
    <w:basedOn w:val="Policepardfaut"/>
    <w:uiPriority w:val="99"/>
    <w:rsid w:val="00F566E3"/>
    <w:rPr>
      <w:rFonts w:cs="Times New Roman"/>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33933146">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microsoft.com/office/2011/relationships/commentsExtended" Target="commentsExtended.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omments" Target="comments.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R:\Mod&#232;les\Styles%20Mdlactes.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Styles Mdlactes</Template>
  <TotalTime>0</TotalTime>
  <Pages>2</Pages>
  <Words>906</Words>
  <Characters>4987</Characters>
  <Application>Microsoft Office Word</Application>
  <DocSecurity>0</DocSecurity>
  <Lines>41</Lines>
  <Paragraphs>11</Paragraphs>
  <ScaleCrop>false</ScaleCrop>
  <HeadingPairs>
    <vt:vector size="2" baseType="variant">
      <vt:variant>
        <vt:lpstr>Titre</vt:lpstr>
      </vt:variant>
      <vt:variant>
        <vt:i4>1</vt:i4>
      </vt:variant>
    </vt:vector>
  </HeadingPairs>
  <TitlesOfParts>
    <vt:vector size="1" baseType="lpstr">
      <vt:lpstr>Un titre a pour style M4</vt:lpstr>
    </vt:vector>
  </TitlesOfParts>
  <Company>Pédagofiche</Company>
  <LinksUpToDate>false</LinksUpToDate>
  <CharactersWithSpaces>5882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 titre a pour style M4</dc:title>
  <dc:subject/>
  <dc:creator>Lucie Lecornet</dc:creator>
  <cp:keywords/>
  <dc:description/>
  <cp:lastModifiedBy>Lucille Bouquely</cp:lastModifiedBy>
  <cp:revision>2</cp:revision>
  <cp:lastPrinted>2001-03-20T16:22:00Z</cp:lastPrinted>
  <dcterms:created xsi:type="dcterms:W3CDTF">2026-03-16T15:30:00Z</dcterms:created>
  <dcterms:modified xsi:type="dcterms:W3CDTF">2026-03-16T15:30:00Z</dcterms:modified>
</cp:coreProperties>
</file>